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29FE8D94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0B5C78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-01/1</w:t>
      </w:r>
    </w:p>
    <w:p w14:paraId="596CF903" w14:textId="3F961D41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08287FB2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0B5C78">
        <w:rPr>
          <w:rFonts w:asciiTheme="minorHAnsi" w:hAnsiTheme="minorHAnsi" w:cstheme="minorHAnsi"/>
          <w:noProof/>
          <w:sz w:val="22"/>
          <w:szCs w:val="22"/>
        </w:rPr>
        <w:t>09. siječnja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7C23B039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Hlk155698421"/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 godine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10/21 i 3/23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60BE5BC6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00ADD32E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03CB2427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2992049D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Adela Labaš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Povjernstvo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provodi postupak javnog poziva</w:t>
      </w:r>
    </w:p>
    <w:p w14:paraId="29DFC6D9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ocjenjuje pristigle prijave i programe</w:t>
      </w:r>
    </w:p>
    <w:p w14:paraId="08DC4375" w14:textId="77777777" w:rsidR="00DD7746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rang listu</w:t>
      </w:r>
      <w:r w:rsidR="00BB1DCF" w:rsidRPr="00793ADA">
        <w:rPr>
          <w:rFonts w:asciiTheme="minorHAnsi" w:hAnsiTheme="minorHAnsi" w:cstheme="minorHAnsi"/>
          <w:noProof/>
          <w:sz w:val="22"/>
          <w:szCs w:val="22"/>
        </w:rPr>
        <w:t xml:space="preserve"> za dodjelu sredstava</w:t>
      </w:r>
    </w:p>
    <w:p w14:paraId="0514A411" w14:textId="77777777" w:rsidR="00DD7746" w:rsidRPr="00793ADA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zapisnik o ocjenjivanju i rangiranju pristiglih prijava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49BA2CFF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>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77777777" w:rsidR="00041B65" w:rsidRPr="00793ADA" w:rsidRDefault="00E8294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stupa na snagu danom donošenja i objaviti će se u Službenom glasniku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34634DCA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bookmarkEnd w:id="0"/>
      <w:r w:rsidR="00FA16B6">
        <w:rPr>
          <w:rFonts w:asciiTheme="minorHAnsi" w:hAnsiTheme="minorHAnsi" w:cstheme="minorHAnsi"/>
          <w:bCs/>
          <w:noProof/>
          <w:sz w:val="22"/>
          <w:szCs w:val="22"/>
        </w:rPr>
        <w:t>, v.r.</w:t>
      </w:r>
    </w:p>
    <w:sectPr w:rsidR="00041B65" w:rsidRPr="00793ADA" w:rsidSect="00DD774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0B5C78"/>
    <w:rsid w:val="00137CD6"/>
    <w:rsid w:val="00183B30"/>
    <w:rsid w:val="001C1E76"/>
    <w:rsid w:val="002175B5"/>
    <w:rsid w:val="00267602"/>
    <w:rsid w:val="00331F94"/>
    <w:rsid w:val="00334BBA"/>
    <w:rsid w:val="0035065F"/>
    <w:rsid w:val="003C715A"/>
    <w:rsid w:val="003D0CF1"/>
    <w:rsid w:val="003F1327"/>
    <w:rsid w:val="004624D9"/>
    <w:rsid w:val="004B038E"/>
    <w:rsid w:val="00591FBC"/>
    <w:rsid w:val="005E5600"/>
    <w:rsid w:val="006121D0"/>
    <w:rsid w:val="0067724E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661A2"/>
    <w:rsid w:val="00FA0E39"/>
    <w:rsid w:val="00FA16B6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4</cp:revision>
  <cp:lastPrinted>2022-01-13T09:21:00Z</cp:lastPrinted>
  <dcterms:created xsi:type="dcterms:W3CDTF">2024-01-09T12:23:00Z</dcterms:created>
  <dcterms:modified xsi:type="dcterms:W3CDTF">2024-01-09T13:11:00Z</dcterms:modified>
</cp:coreProperties>
</file>